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43F3" w:rsidRPr="00935144" w:rsidRDefault="00DB43F3" w:rsidP="00DB43F3">
      <w:pPr>
        <w:jc w:val="center"/>
        <w:rPr>
          <w:rFonts w:ascii="Georgia" w:hAnsi="Georgia"/>
          <w:b/>
          <w:bCs/>
          <w:sz w:val="32"/>
          <w:szCs w:val="32"/>
        </w:rPr>
      </w:pPr>
      <w:r w:rsidRPr="00935144">
        <w:rPr>
          <w:rFonts w:ascii="Georgia" w:hAnsi="Georgia"/>
          <w:b/>
          <w:bCs/>
          <w:sz w:val="32"/>
          <w:szCs w:val="32"/>
        </w:rPr>
        <w:t>Legislature in Texas propose multiple bills that target the LGBTQ+ community</w:t>
      </w:r>
    </w:p>
    <w:p w:rsidR="00DB43F3" w:rsidRDefault="00DB43F3" w:rsidP="00DB43F3">
      <w:pPr>
        <w:jc w:val="center"/>
        <w:rPr>
          <w:rFonts w:ascii="Georgia" w:hAnsi="Georgia"/>
          <w:sz w:val="32"/>
          <w:szCs w:val="32"/>
        </w:rPr>
      </w:pPr>
      <w:r>
        <w:rPr>
          <w:rFonts w:ascii="Georgia" w:hAnsi="Georgia"/>
          <w:sz w:val="32"/>
          <w:szCs w:val="32"/>
        </w:rPr>
        <w:t>By Kaden Marshall</w:t>
      </w:r>
    </w:p>
    <w:p w:rsidR="00DB43F3" w:rsidRDefault="00DB43F3" w:rsidP="00DB43F3">
      <w:pPr>
        <w:rPr>
          <w:rFonts w:ascii="Georgia" w:hAnsi="Georgia"/>
          <w:sz w:val="32"/>
          <w:szCs w:val="32"/>
        </w:rPr>
      </w:pPr>
    </w:p>
    <w:p w:rsidR="00DB43F3" w:rsidRDefault="00DB43F3" w:rsidP="00DB43F3">
      <w:pPr>
        <w:rPr>
          <w:rFonts w:ascii="Georgia" w:hAnsi="Georgia"/>
          <w:sz w:val="32"/>
          <w:szCs w:val="32"/>
        </w:rPr>
      </w:pPr>
      <w:r>
        <w:rPr>
          <w:rFonts w:ascii="Georgia" w:hAnsi="Georgia"/>
          <w:sz w:val="32"/>
          <w:szCs w:val="32"/>
        </w:rPr>
        <w:t>Lawmakers in Texas have proposed 49 bills in 2023 that target the LGBTQ+ community, with a majority targeting transgender youth.</w:t>
      </w:r>
    </w:p>
    <w:p w:rsidR="00DB43F3" w:rsidRDefault="00DB43F3" w:rsidP="00DB43F3">
      <w:pPr>
        <w:rPr>
          <w:rFonts w:ascii="Georgia" w:hAnsi="Georgia"/>
          <w:sz w:val="32"/>
          <w:szCs w:val="32"/>
        </w:rPr>
      </w:pPr>
      <w:r>
        <w:rPr>
          <w:rFonts w:ascii="Georgia" w:hAnsi="Georgia"/>
          <w:sz w:val="32"/>
          <w:szCs w:val="32"/>
        </w:rPr>
        <w:t xml:space="preserve">Currently, the </w:t>
      </w:r>
      <w:r w:rsidRPr="002510C7">
        <w:rPr>
          <w:rFonts w:ascii="Georgia" w:hAnsi="Georgia"/>
          <w:sz w:val="32"/>
          <w:szCs w:val="32"/>
        </w:rPr>
        <w:t>American Civil Liberties Union</w:t>
      </w:r>
      <w:r>
        <w:rPr>
          <w:rFonts w:ascii="Georgia" w:hAnsi="Georgia"/>
          <w:sz w:val="32"/>
          <w:szCs w:val="32"/>
        </w:rPr>
        <w:t xml:space="preserve"> lists a total of 428 legislative bills for 2023 in the U.S. that they believe </w:t>
      </w:r>
      <w:r w:rsidR="00494879">
        <w:rPr>
          <w:rFonts w:ascii="Georgia" w:hAnsi="Georgia"/>
          <w:sz w:val="32"/>
          <w:szCs w:val="32"/>
        </w:rPr>
        <w:t>a</w:t>
      </w:r>
      <w:r>
        <w:rPr>
          <w:rFonts w:ascii="Georgia" w:hAnsi="Georgia"/>
          <w:sz w:val="32"/>
          <w:szCs w:val="32"/>
        </w:rPr>
        <w:t xml:space="preserve">ffect the LGBTQ+ community negatively. </w:t>
      </w:r>
    </w:p>
    <w:p w:rsidR="00DB43F3" w:rsidRDefault="00DB43F3" w:rsidP="00DB43F3">
      <w:pPr>
        <w:rPr>
          <w:rFonts w:ascii="Georgia" w:hAnsi="Georgia"/>
          <w:sz w:val="32"/>
          <w:szCs w:val="32"/>
        </w:rPr>
      </w:pPr>
      <w:r>
        <w:rPr>
          <w:rFonts w:ascii="Georgia" w:hAnsi="Georgia"/>
          <w:sz w:val="32"/>
          <w:szCs w:val="32"/>
        </w:rPr>
        <w:t xml:space="preserve">Texas has the highest number of </w:t>
      </w:r>
      <w:r>
        <w:rPr>
          <w:rFonts w:ascii="Georgia" w:hAnsi="Georgia"/>
          <w:sz w:val="32"/>
          <w:szCs w:val="32"/>
        </w:rPr>
        <w:t xml:space="preserve">these </w:t>
      </w:r>
      <w:r>
        <w:rPr>
          <w:rFonts w:ascii="Georgia" w:hAnsi="Georgia"/>
          <w:sz w:val="32"/>
          <w:szCs w:val="32"/>
        </w:rPr>
        <w:t xml:space="preserve">bills </w:t>
      </w:r>
      <w:r w:rsidR="00612982">
        <w:rPr>
          <w:rFonts w:ascii="Georgia" w:hAnsi="Georgia"/>
          <w:sz w:val="32"/>
          <w:szCs w:val="32"/>
        </w:rPr>
        <w:t>of</w:t>
      </w:r>
      <w:r>
        <w:rPr>
          <w:rFonts w:ascii="Georgia" w:hAnsi="Georgia"/>
          <w:sz w:val="32"/>
          <w:szCs w:val="32"/>
        </w:rPr>
        <w:t xml:space="preserve"> any state, totaling 49 bills that are anti-LGBTQ+ in nature</w:t>
      </w:r>
      <w:r w:rsidR="006905FB">
        <w:rPr>
          <w:rFonts w:ascii="Georgia" w:hAnsi="Georgia"/>
          <w:sz w:val="32"/>
          <w:szCs w:val="32"/>
        </w:rPr>
        <w:t>,</w:t>
      </w:r>
      <w:r>
        <w:rPr>
          <w:rFonts w:ascii="Georgia" w:hAnsi="Georgia"/>
          <w:sz w:val="32"/>
          <w:szCs w:val="32"/>
        </w:rPr>
        <w:t xml:space="preserve"> according to the ACLU.</w:t>
      </w:r>
    </w:p>
    <w:p w:rsidR="00DB43F3" w:rsidRDefault="00DB43F3" w:rsidP="00DB43F3">
      <w:pPr>
        <w:rPr>
          <w:rFonts w:ascii="Georgia" w:hAnsi="Georgia"/>
          <w:sz w:val="32"/>
          <w:szCs w:val="32"/>
        </w:rPr>
      </w:pPr>
      <w:r>
        <w:rPr>
          <w:rFonts w:ascii="Georgia" w:hAnsi="Georgia"/>
          <w:sz w:val="32"/>
          <w:szCs w:val="32"/>
        </w:rPr>
        <w:t>14 of these bills target healthcare and most look to limit or ban access to gender</w:t>
      </w:r>
      <w:r w:rsidR="00494879">
        <w:rPr>
          <w:rFonts w:ascii="Georgia" w:hAnsi="Georgia"/>
          <w:sz w:val="32"/>
          <w:szCs w:val="32"/>
        </w:rPr>
        <w:t>-</w:t>
      </w:r>
      <w:r>
        <w:rPr>
          <w:rFonts w:ascii="Georgia" w:hAnsi="Georgia"/>
          <w:sz w:val="32"/>
          <w:szCs w:val="32"/>
        </w:rPr>
        <w:t>affirming care for young people who identify as transgender</w:t>
      </w:r>
      <w:r w:rsidR="006905FB">
        <w:rPr>
          <w:rFonts w:ascii="Georgia" w:hAnsi="Georgia"/>
          <w:sz w:val="32"/>
          <w:szCs w:val="32"/>
        </w:rPr>
        <w:t>.</w:t>
      </w:r>
    </w:p>
    <w:p w:rsidR="00DB43F3" w:rsidRDefault="00DB43F3" w:rsidP="00DB43F3">
      <w:pPr>
        <w:rPr>
          <w:rFonts w:ascii="Georgia" w:hAnsi="Georgia"/>
          <w:sz w:val="32"/>
          <w:szCs w:val="32"/>
        </w:rPr>
      </w:pPr>
      <w:r>
        <w:rPr>
          <w:rFonts w:ascii="Georgia" w:hAnsi="Georgia"/>
          <w:sz w:val="32"/>
          <w:szCs w:val="32"/>
        </w:rPr>
        <w:t>State Bill 14 prohibits Texas physicians from providing gender affirming surgeries or hormone replacement therapy to transgender people under 18. The bill also bans insurance from covering these treatments and cuts public funding that goes towards them.</w:t>
      </w:r>
    </w:p>
    <w:p w:rsidR="00DB43F3" w:rsidRDefault="00DB43F3" w:rsidP="00DB43F3">
      <w:pPr>
        <w:rPr>
          <w:rFonts w:ascii="Georgia" w:hAnsi="Georgia"/>
          <w:sz w:val="32"/>
          <w:szCs w:val="32"/>
        </w:rPr>
      </w:pPr>
      <w:r>
        <w:rPr>
          <w:rFonts w:ascii="Georgia" w:hAnsi="Georgia"/>
          <w:sz w:val="32"/>
          <w:szCs w:val="32"/>
        </w:rPr>
        <w:t>Stopping young transgender or non-binary</w:t>
      </w:r>
      <w:r w:rsidRPr="008B1477">
        <w:rPr>
          <w:rFonts w:ascii="Georgia" w:hAnsi="Georgia"/>
          <w:sz w:val="32"/>
          <w:szCs w:val="32"/>
        </w:rPr>
        <w:t xml:space="preserve"> </w:t>
      </w:r>
      <w:r>
        <w:rPr>
          <w:rFonts w:ascii="Georgia" w:hAnsi="Georgia"/>
          <w:sz w:val="32"/>
          <w:szCs w:val="32"/>
        </w:rPr>
        <w:t>individuals from accessing gender-affirming care could have negative consequences.</w:t>
      </w:r>
      <w:r w:rsidRPr="008B1477">
        <w:rPr>
          <w:rFonts w:ascii="Georgia" w:hAnsi="Georgia"/>
          <w:sz w:val="32"/>
          <w:szCs w:val="32"/>
        </w:rPr>
        <w:t xml:space="preserve"> </w:t>
      </w:r>
    </w:p>
    <w:p w:rsidR="00DB43F3" w:rsidRDefault="00ED4E88" w:rsidP="00DB43F3">
      <w:pPr>
        <w:rPr>
          <w:rFonts w:ascii="Georgia" w:hAnsi="Georgia"/>
          <w:sz w:val="32"/>
          <w:szCs w:val="32"/>
        </w:rPr>
      </w:pPr>
      <w:r>
        <w:rPr>
          <w:rFonts w:ascii="Georgia" w:hAnsi="Georgia"/>
          <w:sz w:val="32"/>
          <w:szCs w:val="32"/>
        </w:rPr>
        <w:t>Y</w:t>
      </w:r>
      <w:r w:rsidR="00DB43F3" w:rsidRPr="00091D57">
        <w:rPr>
          <w:rFonts w:ascii="Georgia" w:hAnsi="Georgia"/>
          <w:sz w:val="32"/>
          <w:szCs w:val="32"/>
        </w:rPr>
        <w:t>outh who received gender-affirming medications</w:t>
      </w:r>
      <w:r w:rsidR="00DB43F3">
        <w:rPr>
          <w:rFonts w:ascii="Georgia" w:hAnsi="Georgia"/>
          <w:sz w:val="32"/>
          <w:szCs w:val="32"/>
        </w:rPr>
        <w:t xml:space="preserve"> </w:t>
      </w:r>
      <w:r w:rsidR="00DB43F3" w:rsidRPr="00091D57">
        <w:rPr>
          <w:rFonts w:ascii="Georgia" w:hAnsi="Georgia"/>
          <w:sz w:val="32"/>
          <w:szCs w:val="32"/>
        </w:rPr>
        <w:t xml:space="preserve">had </w:t>
      </w:r>
      <w:r w:rsidR="006905FB">
        <w:rPr>
          <w:rFonts w:ascii="Georgia" w:hAnsi="Georgia"/>
          <w:sz w:val="32"/>
          <w:szCs w:val="32"/>
        </w:rPr>
        <w:t xml:space="preserve">a </w:t>
      </w:r>
      <w:r w:rsidR="00DB43F3" w:rsidRPr="00091D57">
        <w:rPr>
          <w:rFonts w:ascii="Georgia" w:hAnsi="Georgia"/>
          <w:sz w:val="32"/>
          <w:szCs w:val="32"/>
        </w:rPr>
        <w:t xml:space="preserve">60% lower </w:t>
      </w:r>
      <w:r w:rsidR="006905FB">
        <w:rPr>
          <w:rFonts w:ascii="Georgia" w:hAnsi="Georgia"/>
          <w:sz w:val="32"/>
          <w:szCs w:val="32"/>
        </w:rPr>
        <w:t>chance</w:t>
      </w:r>
      <w:r w:rsidR="00DB43F3" w:rsidRPr="00091D57">
        <w:rPr>
          <w:rFonts w:ascii="Georgia" w:hAnsi="Georgia"/>
          <w:sz w:val="32"/>
          <w:szCs w:val="32"/>
        </w:rPr>
        <w:t xml:space="preserve"> of depression and </w:t>
      </w:r>
      <w:r w:rsidR="006905FB">
        <w:rPr>
          <w:rFonts w:ascii="Georgia" w:hAnsi="Georgia"/>
          <w:sz w:val="32"/>
          <w:szCs w:val="32"/>
        </w:rPr>
        <w:t xml:space="preserve">a </w:t>
      </w:r>
      <w:r w:rsidR="00DB43F3" w:rsidRPr="00091D57">
        <w:rPr>
          <w:rFonts w:ascii="Georgia" w:hAnsi="Georgia"/>
          <w:sz w:val="32"/>
          <w:szCs w:val="32"/>
        </w:rPr>
        <w:t xml:space="preserve">73% lower </w:t>
      </w:r>
      <w:r w:rsidR="006905FB">
        <w:rPr>
          <w:rFonts w:ascii="Georgia" w:hAnsi="Georgia"/>
          <w:sz w:val="32"/>
          <w:szCs w:val="32"/>
        </w:rPr>
        <w:t>chance</w:t>
      </w:r>
      <w:r w:rsidR="00DB43F3" w:rsidRPr="00091D57">
        <w:rPr>
          <w:rFonts w:ascii="Georgia" w:hAnsi="Georgia"/>
          <w:sz w:val="32"/>
          <w:szCs w:val="32"/>
        </w:rPr>
        <w:t xml:space="preserve"> of suicidality</w:t>
      </w:r>
      <w:r w:rsidR="00DB43F3">
        <w:rPr>
          <w:rFonts w:ascii="Georgia" w:hAnsi="Georgia"/>
          <w:sz w:val="32"/>
          <w:szCs w:val="32"/>
        </w:rPr>
        <w:t xml:space="preserve"> when </w:t>
      </w:r>
      <w:r w:rsidR="00DB43F3" w:rsidRPr="00091D57">
        <w:rPr>
          <w:rFonts w:ascii="Georgia" w:hAnsi="Georgia"/>
          <w:sz w:val="32"/>
          <w:szCs w:val="32"/>
        </w:rPr>
        <w:t xml:space="preserve">compared with youth who did not </w:t>
      </w:r>
      <w:r w:rsidR="00DB43F3">
        <w:rPr>
          <w:rFonts w:ascii="Georgia" w:hAnsi="Georgia"/>
          <w:sz w:val="32"/>
          <w:szCs w:val="32"/>
        </w:rPr>
        <w:t>receive</w:t>
      </w:r>
      <w:r w:rsidR="00DB43F3" w:rsidRPr="00091D57">
        <w:rPr>
          <w:rFonts w:ascii="Georgia" w:hAnsi="Georgia"/>
          <w:sz w:val="32"/>
          <w:szCs w:val="32"/>
        </w:rPr>
        <w:t xml:space="preserve"> medication</w:t>
      </w:r>
      <w:r w:rsidR="006905FB">
        <w:rPr>
          <w:rFonts w:ascii="Georgia" w:hAnsi="Georgia"/>
          <w:sz w:val="32"/>
          <w:szCs w:val="32"/>
        </w:rPr>
        <w:t xml:space="preserve">, </w:t>
      </w:r>
      <w:r>
        <w:rPr>
          <w:rFonts w:ascii="Georgia" w:hAnsi="Georgia"/>
          <w:sz w:val="32"/>
          <w:szCs w:val="32"/>
        </w:rPr>
        <w:t>according to the</w:t>
      </w:r>
      <w:r w:rsidRPr="00091D57">
        <w:rPr>
          <w:rFonts w:ascii="Georgia" w:hAnsi="Georgia"/>
          <w:sz w:val="32"/>
          <w:szCs w:val="32"/>
        </w:rPr>
        <w:t xml:space="preserve"> </w:t>
      </w:r>
      <w:r>
        <w:rPr>
          <w:rFonts w:ascii="Georgia" w:hAnsi="Georgia"/>
          <w:sz w:val="32"/>
          <w:szCs w:val="32"/>
        </w:rPr>
        <w:t>American Medical Association</w:t>
      </w:r>
      <w:r>
        <w:rPr>
          <w:rFonts w:ascii="Georgia" w:hAnsi="Georgia"/>
          <w:sz w:val="32"/>
          <w:szCs w:val="32"/>
        </w:rPr>
        <w:t>.</w:t>
      </w:r>
    </w:p>
    <w:p w:rsidR="00597E07" w:rsidRDefault="00597E07" w:rsidP="00597E07">
      <w:pPr>
        <w:rPr>
          <w:rFonts w:ascii="Georgia" w:hAnsi="Georgia"/>
          <w:sz w:val="32"/>
          <w:szCs w:val="32"/>
        </w:rPr>
      </w:pPr>
      <w:r>
        <w:rPr>
          <w:rFonts w:ascii="Georgia" w:hAnsi="Georgia"/>
          <w:sz w:val="32"/>
          <w:szCs w:val="32"/>
        </w:rPr>
        <w:t>Nadia Lehman, a transgender woman who lives in Dallas, Texas</w:t>
      </w:r>
      <w:r w:rsidR="00494879">
        <w:rPr>
          <w:rFonts w:ascii="Georgia" w:hAnsi="Georgia"/>
          <w:sz w:val="32"/>
          <w:szCs w:val="32"/>
        </w:rPr>
        <w:t>,</w:t>
      </w:r>
      <w:r>
        <w:rPr>
          <w:rFonts w:ascii="Georgia" w:hAnsi="Georgia"/>
          <w:sz w:val="32"/>
          <w:szCs w:val="32"/>
        </w:rPr>
        <w:t xml:space="preserve"> is currently undergoing her own transition with the help of </w:t>
      </w:r>
      <w:r>
        <w:rPr>
          <w:rFonts w:ascii="Georgia" w:hAnsi="Georgia"/>
          <w:sz w:val="32"/>
          <w:szCs w:val="32"/>
        </w:rPr>
        <w:lastRenderedPageBreak/>
        <w:t xml:space="preserve">gender-affirming medication. </w:t>
      </w:r>
      <w:r w:rsidR="00612982">
        <w:rPr>
          <w:rFonts w:ascii="Georgia" w:hAnsi="Georgia"/>
          <w:sz w:val="32"/>
          <w:szCs w:val="32"/>
        </w:rPr>
        <w:t>She says bills such as these are “blatantly prejudice</w:t>
      </w:r>
      <w:r w:rsidR="006905FB">
        <w:rPr>
          <w:rFonts w:ascii="Georgia" w:hAnsi="Georgia"/>
          <w:sz w:val="32"/>
          <w:szCs w:val="32"/>
        </w:rPr>
        <w:t>d</w:t>
      </w:r>
      <w:r w:rsidR="00612982">
        <w:rPr>
          <w:rFonts w:ascii="Georgia" w:hAnsi="Georgia"/>
          <w:sz w:val="32"/>
          <w:szCs w:val="32"/>
        </w:rPr>
        <w:t>” and do not solve any real issues.</w:t>
      </w:r>
    </w:p>
    <w:p w:rsidR="00597E07" w:rsidRDefault="00597E07" w:rsidP="00DB43F3">
      <w:pPr>
        <w:rPr>
          <w:rFonts w:ascii="Georgia" w:hAnsi="Georgia"/>
          <w:sz w:val="32"/>
          <w:szCs w:val="32"/>
        </w:rPr>
      </w:pPr>
      <w:r>
        <w:rPr>
          <w:rFonts w:ascii="Georgia" w:hAnsi="Georgia"/>
          <w:sz w:val="32"/>
          <w:szCs w:val="32"/>
        </w:rPr>
        <w:t>“</w:t>
      </w:r>
      <w:r w:rsidRPr="00597E07">
        <w:rPr>
          <w:rFonts w:ascii="Georgia" w:hAnsi="Georgia"/>
          <w:sz w:val="32"/>
          <w:szCs w:val="32"/>
        </w:rPr>
        <w:t>I have definitely felt benefited from having access to gender affirming care</w:t>
      </w:r>
      <w:r>
        <w:rPr>
          <w:rFonts w:ascii="Georgia" w:hAnsi="Georgia"/>
          <w:sz w:val="32"/>
          <w:szCs w:val="32"/>
        </w:rPr>
        <w:t>,” says Lehman.</w:t>
      </w:r>
      <w:r w:rsidRPr="00597E07">
        <w:rPr>
          <w:rFonts w:ascii="Georgia" w:hAnsi="Georgia"/>
          <w:sz w:val="32"/>
          <w:szCs w:val="32"/>
        </w:rPr>
        <w:t xml:space="preserve"> </w:t>
      </w:r>
      <w:r>
        <w:rPr>
          <w:rFonts w:ascii="Georgia" w:hAnsi="Georgia"/>
          <w:sz w:val="32"/>
          <w:szCs w:val="32"/>
        </w:rPr>
        <w:t>“</w:t>
      </w:r>
      <w:r w:rsidRPr="00597E07">
        <w:rPr>
          <w:rFonts w:ascii="Georgia" w:hAnsi="Georgia"/>
          <w:sz w:val="32"/>
          <w:szCs w:val="32"/>
        </w:rPr>
        <w:t xml:space="preserve">It has slowly improved my mental health, confidence, and social life since starting, and </w:t>
      </w:r>
      <w:r>
        <w:rPr>
          <w:rFonts w:ascii="Georgia" w:hAnsi="Georgia"/>
          <w:sz w:val="32"/>
          <w:szCs w:val="32"/>
        </w:rPr>
        <w:t xml:space="preserve">I </w:t>
      </w:r>
      <w:r w:rsidRPr="00597E07">
        <w:rPr>
          <w:rFonts w:ascii="Georgia" w:hAnsi="Georgia"/>
          <w:sz w:val="32"/>
          <w:szCs w:val="32"/>
        </w:rPr>
        <w:t>can only see it continuing to improve my life as I get further into my transition.</w:t>
      </w:r>
      <w:r>
        <w:rPr>
          <w:rFonts w:ascii="Georgia" w:hAnsi="Georgia"/>
          <w:sz w:val="32"/>
          <w:szCs w:val="32"/>
        </w:rPr>
        <w:t>”</w:t>
      </w:r>
    </w:p>
    <w:p w:rsidR="00DB43F3" w:rsidRDefault="00DB43F3" w:rsidP="00DB43F3">
      <w:pPr>
        <w:rPr>
          <w:rFonts w:ascii="Georgia" w:hAnsi="Georgia"/>
          <w:sz w:val="32"/>
          <w:szCs w:val="32"/>
        </w:rPr>
      </w:pPr>
      <w:r>
        <w:rPr>
          <w:rFonts w:ascii="Georgia" w:hAnsi="Georgia"/>
          <w:sz w:val="32"/>
          <w:szCs w:val="32"/>
        </w:rPr>
        <w:t>Dr. Kriti Vashisht, a counselor and assistant professor at McNeese State University</w:t>
      </w:r>
      <w:r w:rsidR="006905FB">
        <w:rPr>
          <w:rFonts w:ascii="Georgia" w:hAnsi="Georgia"/>
          <w:sz w:val="32"/>
          <w:szCs w:val="32"/>
        </w:rPr>
        <w:t>,</w:t>
      </w:r>
      <w:r>
        <w:rPr>
          <w:rFonts w:ascii="Georgia" w:hAnsi="Georgia"/>
          <w:sz w:val="32"/>
          <w:szCs w:val="32"/>
        </w:rPr>
        <w:t xml:space="preserve"> believes that these services should be available for these individuals and that it should be a “valid, lenient, and transparent process.” </w:t>
      </w:r>
    </w:p>
    <w:p w:rsidR="00DB43F3" w:rsidRDefault="00DB43F3" w:rsidP="00DB43F3">
      <w:pPr>
        <w:rPr>
          <w:rFonts w:ascii="Georgia" w:hAnsi="Georgia"/>
          <w:sz w:val="32"/>
          <w:szCs w:val="32"/>
        </w:rPr>
      </w:pPr>
      <w:r>
        <w:rPr>
          <w:rFonts w:ascii="Georgia" w:hAnsi="Georgia"/>
          <w:sz w:val="32"/>
          <w:szCs w:val="32"/>
        </w:rPr>
        <w:t>“If you are snatching away that choice</w:t>
      </w:r>
      <w:r w:rsidR="00597E07">
        <w:rPr>
          <w:rFonts w:ascii="Georgia" w:hAnsi="Georgia"/>
          <w:sz w:val="32"/>
          <w:szCs w:val="32"/>
        </w:rPr>
        <w:t>,</w:t>
      </w:r>
      <w:r>
        <w:rPr>
          <w:rFonts w:ascii="Georgia" w:hAnsi="Georgia"/>
          <w:sz w:val="32"/>
          <w:szCs w:val="32"/>
        </w:rPr>
        <w:t xml:space="preserve"> that is not going to help them,” said Vashisht. “They want to align </w:t>
      </w:r>
      <w:r w:rsidR="006905FB">
        <w:rPr>
          <w:rFonts w:ascii="Georgia" w:hAnsi="Georgia"/>
          <w:sz w:val="32"/>
          <w:szCs w:val="32"/>
        </w:rPr>
        <w:t xml:space="preserve">with </w:t>
      </w:r>
      <w:r>
        <w:rPr>
          <w:rFonts w:ascii="Georgia" w:hAnsi="Georgia"/>
          <w:sz w:val="32"/>
          <w:szCs w:val="32"/>
        </w:rPr>
        <w:t>and genuinely be this other person</w:t>
      </w:r>
      <w:r w:rsidR="006905FB">
        <w:rPr>
          <w:rFonts w:ascii="Georgia" w:hAnsi="Georgia"/>
          <w:sz w:val="32"/>
          <w:szCs w:val="32"/>
        </w:rPr>
        <w:t>,</w:t>
      </w:r>
      <w:r>
        <w:rPr>
          <w:rFonts w:ascii="Georgia" w:hAnsi="Georgia"/>
          <w:sz w:val="32"/>
          <w:szCs w:val="32"/>
        </w:rPr>
        <w:t xml:space="preserve"> and we shouldn’t guide how that other person should look like for them.”</w:t>
      </w:r>
    </w:p>
    <w:p w:rsidR="00DB43F3" w:rsidRDefault="00DB43F3" w:rsidP="00DB43F3">
      <w:pPr>
        <w:rPr>
          <w:rFonts w:ascii="Georgia" w:hAnsi="Georgia"/>
          <w:sz w:val="32"/>
          <w:szCs w:val="32"/>
        </w:rPr>
      </w:pPr>
      <w:r>
        <w:rPr>
          <w:rFonts w:ascii="Georgia" w:hAnsi="Georgia"/>
          <w:sz w:val="32"/>
          <w:szCs w:val="32"/>
        </w:rPr>
        <w:t xml:space="preserve">Other proposed bills try to instead make it impossible for transgender or non-binary individuals to have their identifying documents reflect their preferred gender. </w:t>
      </w:r>
    </w:p>
    <w:p w:rsidR="00DB43F3" w:rsidRDefault="00DB43F3" w:rsidP="00DB43F3">
      <w:pPr>
        <w:rPr>
          <w:rFonts w:ascii="Georgia" w:hAnsi="Georgia"/>
          <w:sz w:val="32"/>
          <w:szCs w:val="32"/>
        </w:rPr>
      </w:pPr>
      <w:r>
        <w:rPr>
          <w:rFonts w:ascii="Georgia" w:hAnsi="Georgia"/>
          <w:sz w:val="32"/>
          <w:szCs w:val="32"/>
        </w:rPr>
        <w:t xml:space="preserve">House Bill 1082 looks to make legal definitions of gender that are based off a person’s biological sex and not the gender they identify as. </w:t>
      </w:r>
    </w:p>
    <w:p w:rsidR="00DB43F3" w:rsidRDefault="00DB43F3" w:rsidP="00DB43F3">
      <w:pPr>
        <w:rPr>
          <w:rFonts w:ascii="Georgia" w:hAnsi="Georgia"/>
          <w:sz w:val="32"/>
          <w:szCs w:val="32"/>
        </w:rPr>
      </w:pPr>
      <w:r>
        <w:rPr>
          <w:rFonts w:ascii="Georgia" w:hAnsi="Georgia"/>
          <w:sz w:val="32"/>
          <w:szCs w:val="32"/>
        </w:rPr>
        <w:t>“It is a very repressive thought process of only viewing it from a physiological sense and not giving any other member of society that fluidity to identify to any gender</w:t>
      </w:r>
      <w:r w:rsidR="006905FB">
        <w:rPr>
          <w:rFonts w:ascii="Georgia" w:hAnsi="Georgia"/>
          <w:sz w:val="32"/>
          <w:szCs w:val="32"/>
        </w:rPr>
        <w:t>,</w:t>
      </w:r>
      <w:r>
        <w:rPr>
          <w:rFonts w:ascii="Georgia" w:hAnsi="Georgia"/>
          <w:sz w:val="32"/>
          <w:szCs w:val="32"/>
        </w:rPr>
        <w:t>”</w:t>
      </w:r>
      <w:r>
        <w:rPr>
          <w:rFonts w:ascii="Georgia" w:hAnsi="Georgia"/>
          <w:sz w:val="32"/>
          <w:szCs w:val="32"/>
        </w:rPr>
        <w:t xml:space="preserve"> says Vashisht. “I don’t think they are thinking about gender at all.”</w:t>
      </w:r>
    </w:p>
    <w:p w:rsidR="00494879" w:rsidRDefault="00494879" w:rsidP="00DB43F3">
      <w:pPr>
        <w:rPr>
          <w:rFonts w:ascii="Georgia" w:hAnsi="Georgia"/>
          <w:sz w:val="32"/>
          <w:szCs w:val="32"/>
        </w:rPr>
      </w:pPr>
      <w:r>
        <w:rPr>
          <w:rFonts w:ascii="Georgia" w:hAnsi="Georgia"/>
          <w:sz w:val="32"/>
          <w:szCs w:val="32"/>
        </w:rPr>
        <w:t>Having identifying documents that don’t match someone’s preferred gender can lead to harassment, humiliation</w:t>
      </w:r>
      <w:r w:rsidR="006905FB">
        <w:rPr>
          <w:rFonts w:ascii="Georgia" w:hAnsi="Georgia"/>
          <w:sz w:val="32"/>
          <w:szCs w:val="32"/>
        </w:rPr>
        <w:t>,</w:t>
      </w:r>
      <w:r>
        <w:rPr>
          <w:rFonts w:ascii="Georgia" w:hAnsi="Georgia"/>
          <w:sz w:val="32"/>
          <w:szCs w:val="32"/>
        </w:rPr>
        <w:t xml:space="preserve"> and violence</w:t>
      </w:r>
      <w:r w:rsidR="006905FB">
        <w:rPr>
          <w:rFonts w:ascii="Georgia" w:hAnsi="Georgia"/>
          <w:sz w:val="32"/>
          <w:szCs w:val="32"/>
        </w:rPr>
        <w:t>,</w:t>
      </w:r>
      <w:r>
        <w:rPr>
          <w:rFonts w:ascii="Georgia" w:hAnsi="Georgia"/>
          <w:sz w:val="32"/>
          <w:szCs w:val="32"/>
        </w:rPr>
        <w:t xml:space="preserve"> according to the National Center for Transgender Equality.</w:t>
      </w:r>
    </w:p>
    <w:p w:rsidR="00DB43F3" w:rsidRDefault="00CC529A" w:rsidP="00DB43F3">
      <w:pPr>
        <w:rPr>
          <w:rFonts w:ascii="Georgia" w:hAnsi="Georgia"/>
          <w:sz w:val="32"/>
          <w:szCs w:val="32"/>
        </w:rPr>
      </w:pPr>
      <w:r>
        <w:rPr>
          <w:rFonts w:ascii="Georgia" w:hAnsi="Georgia"/>
          <w:sz w:val="32"/>
          <w:szCs w:val="32"/>
        </w:rPr>
        <w:lastRenderedPageBreak/>
        <w:t>It is unlikely that all o</w:t>
      </w:r>
      <w:r w:rsidR="00DB43F3">
        <w:rPr>
          <w:rFonts w:ascii="Georgia" w:hAnsi="Georgia"/>
          <w:sz w:val="32"/>
          <w:szCs w:val="32"/>
        </w:rPr>
        <w:t xml:space="preserve">f </w:t>
      </w:r>
      <w:r>
        <w:rPr>
          <w:rFonts w:ascii="Georgia" w:hAnsi="Georgia"/>
          <w:sz w:val="32"/>
          <w:szCs w:val="32"/>
        </w:rPr>
        <w:t>these proposed bills will become law, however, they can still have a negative effect on the community.</w:t>
      </w:r>
    </w:p>
    <w:p w:rsidR="00CC529A" w:rsidRDefault="00CC529A" w:rsidP="00DB43F3">
      <w:pPr>
        <w:rPr>
          <w:rFonts w:ascii="Georgia" w:hAnsi="Georgia"/>
          <w:sz w:val="32"/>
          <w:szCs w:val="32"/>
        </w:rPr>
      </w:pPr>
      <w:r>
        <w:rPr>
          <w:rFonts w:ascii="Georgia" w:hAnsi="Georgia"/>
          <w:sz w:val="32"/>
          <w:szCs w:val="32"/>
        </w:rPr>
        <w:t>“</w:t>
      </w:r>
      <w:r>
        <w:rPr>
          <w:rFonts w:ascii="Georgia" w:hAnsi="Georgia"/>
          <w:sz w:val="32"/>
          <w:szCs w:val="32"/>
        </w:rPr>
        <w:t>The idea of even proposing that is problematic</w:t>
      </w:r>
      <w:r w:rsidR="006905FB">
        <w:rPr>
          <w:rFonts w:ascii="Georgia" w:hAnsi="Georgia"/>
          <w:sz w:val="32"/>
          <w:szCs w:val="32"/>
        </w:rPr>
        <w:t>,</w:t>
      </w:r>
      <w:r>
        <w:rPr>
          <w:rFonts w:ascii="Georgia" w:hAnsi="Georgia"/>
          <w:sz w:val="32"/>
          <w:szCs w:val="32"/>
        </w:rPr>
        <w:t>”</w:t>
      </w:r>
      <w:r>
        <w:rPr>
          <w:rFonts w:ascii="Georgia" w:hAnsi="Georgia"/>
          <w:sz w:val="32"/>
          <w:szCs w:val="32"/>
        </w:rPr>
        <w:t xml:space="preserve"> </w:t>
      </w:r>
      <w:r>
        <w:rPr>
          <w:rFonts w:ascii="Georgia" w:hAnsi="Georgia"/>
          <w:sz w:val="32"/>
          <w:szCs w:val="32"/>
        </w:rPr>
        <w:t>says Vashisht. “I</w:t>
      </w:r>
      <w:r>
        <w:rPr>
          <w:rFonts w:ascii="Georgia" w:hAnsi="Georgia"/>
          <w:sz w:val="32"/>
          <w:szCs w:val="32"/>
        </w:rPr>
        <w:t>f your political representatives are talking about subjugating or oppressing one community, that shows the ideology that is prevailing in the community as well.”</w:t>
      </w:r>
    </w:p>
    <w:p w:rsidR="000E4C67" w:rsidRPr="00612982" w:rsidRDefault="00DB43F3">
      <w:pPr>
        <w:rPr>
          <w:rFonts w:ascii="Georgia" w:hAnsi="Georgia"/>
          <w:sz w:val="32"/>
          <w:szCs w:val="32"/>
        </w:rPr>
      </w:pPr>
      <w:r>
        <w:rPr>
          <w:rFonts w:ascii="Georgia" w:hAnsi="Georgia"/>
          <w:sz w:val="32"/>
          <w:szCs w:val="32"/>
        </w:rPr>
        <w:t xml:space="preserve">“Even if not passed they show that many members of the government are actively hostile towards us and value their own </w:t>
      </w:r>
      <w:r w:rsidR="00597E07">
        <w:rPr>
          <w:rFonts w:ascii="Georgia" w:hAnsi="Georgia"/>
          <w:sz w:val="32"/>
          <w:szCs w:val="32"/>
        </w:rPr>
        <w:t>self-interest</w:t>
      </w:r>
      <w:r>
        <w:rPr>
          <w:rFonts w:ascii="Georgia" w:hAnsi="Georgia"/>
          <w:sz w:val="32"/>
          <w:szCs w:val="32"/>
        </w:rPr>
        <w:t xml:space="preserve"> over the wellbeing of the state as a whole</w:t>
      </w:r>
      <w:r w:rsidR="00CC529A">
        <w:rPr>
          <w:rFonts w:ascii="Georgia" w:hAnsi="Georgia"/>
          <w:sz w:val="32"/>
          <w:szCs w:val="32"/>
        </w:rPr>
        <w:t>,” says Layman</w:t>
      </w:r>
      <w:r w:rsidR="00262E72">
        <w:rPr>
          <w:rFonts w:ascii="Georgia" w:hAnsi="Georgia"/>
          <w:sz w:val="32"/>
          <w:szCs w:val="32"/>
        </w:rPr>
        <w:t>.</w:t>
      </w:r>
    </w:p>
    <w:sectPr w:rsidR="000E4C67" w:rsidRPr="006129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3F3"/>
    <w:rsid w:val="000E4C67"/>
    <w:rsid w:val="00262E72"/>
    <w:rsid w:val="00396E80"/>
    <w:rsid w:val="00494879"/>
    <w:rsid w:val="00597E07"/>
    <w:rsid w:val="00612982"/>
    <w:rsid w:val="006905FB"/>
    <w:rsid w:val="00841AD9"/>
    <w:rsid w:val="00CC529A"/>
    <w:rsid w:val="00DB43F3"/>
    <w:rsid w:val="00ED4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CC469"/>
  <w15:chartTrackingRefBased/>
  <w15:docId w15:val="{C7926482-204C-43F6-A0EF-49AA5FD99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43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115811">
      <w:bodyDiv w:val="1"/>
      <w:marLeft w:val="0"/>
      <w:marRight w:val="0"/>
      <w:marTop w:val="0"/>
      <w:marBottom w:val="0"/>
      <w:divBdr>
        <w:top w:val="none" w:sz="0" w:space="0" w:color="auto"/>
        <w:left w:val="none" w:sz="0" w:space="0" w:color="auto"/>
        <w:bottom w:val="none" w:sz="0" w:space="0" w:color="auto"/>
        <w:right w:val="none" w:sz="0" w:space="0" w:color="auto"/>
      </w:divBdr>
      <w:divsChild>
        <w:div w:id="2007322577">
          <w:marLeft w:val="0"/>
          <w:marRight w:val="0"/>
          <w:marTop w:val="0"/>
          <w:marBottom w:val="0"/>
          <w:divBdr>
            <w:top w:val="none" w:sz="0" w:space="0" w:color="auto"/>
            <w:left w:val="none" w:sz="0" w:space="0" w:color="auto"/>
            <w:bottom w:val="none" w:sz="0" w:space="0" w:color="auto"/>
            <w:right w:val="none" w:sz="0" w:space="0" w:color="auto"/>
          </w:divBdr>
          <w:divsChild>
            <w:div w:id="165561382">
              <w:marLeft w:val="0"/>
              <w:marRight w:val="0"/>
              <w:marTop w:val="0"/>
              <w:marBottom w:val="0"/>
              <w:divBdr>
                <w:top w:val="none" w:sz="0" w:space="0" w:color="auto"/>
                <w:left w:val="none" w:sz="0" w:space="0" w:color="auto"/>
                <w:bottom w:val="none" w:sz="0" w:space="0" w:color="auto"/>
                <w:right w:val="none" w:sz="0" w:space="0" w:color="auto"/>
              </w:divBdr>
              <w:divsChild>
                <w:div w:id="371615658">
                  <w:marLeft w:val="0"/>
                  <w:marRight w:val="0"/>
                  <w:marTop w:val="0"/>
                  <w:marBottom w:val="0"/>
                  <w:divBdr>
                    <w:top w:val="none" w:sz="0" w:space="0" w:color="auto"/>
                    <w:left w:val="none" w:sz="0" w:space="0" w:color="auto"/>
                    <w:bottom w:val="none" w:sz="0" w:space="0" w:color="auto"/>
                    <w:right w:val="none" w:sz="0" w:space="0" w:color="auto"/>
                  </w:divBdr>
                  <w:divsChild>
                    <w:div w:id="1073040466">
                      <w:marLeft w:val="0"/>
                      <w:marRight w:val="0"/>
                      <w:marTop w:val="0"/>
                      <w:marBottom w:val="0"/>
                      <w:divBdr>
                        <w:top w:val="none" w:sz="0" w:space="0" w:color="auto"/>
                        <w:left w:val="none" w:sz="0" w:space="0" w:color="auto"/>
                        <w:bottom w:val="none" w:sz="0" w:space="0" w:color="auto"/>
                        <w:right w:val="none" w:sz="0" w:space="0" w:color="auto"/>
                      </w:divBdr>
                      <w:divsChild>
                        <w:div w:id="836842907">
                          <w:marLeft w:val="0"/>
                          <w:marRight w:val="0"/>
                          <w:marTop w:val="0"/>
                          <w:marBottom w:val="0"/>
                          <w:divBdr>
                            <w:top w:val="none" w:sz="0" w:space="0" w:color="auto"/>
                            <w:left w:val="none" w:sz="0" w:space="0" w:color="auto"/>
                            <w:bottom w:val="none" w:sz="0" w:space="0" w:color="auto"/>
                            <w:right w:val="none" w:sz="0" w:space="0" w:color="auto"/>
                          </w:divBdr>
                        </w:div>
                        <w:div w:id="1871258258">
                          <w:marLeft w:val="0"/>
                          <w:marRight w:val="0"/>
                          <w:marTop w:val="0"/>
                          <w:marBottom w:val="0"/>
                          <w:divBdr>
                            <w:top w:val="none" w:sz="0" w:space="0" w:color="auto"/>
                            <w:left w:val="none" w:sz="0" w:space="0" w:color="auto"/>
                            <w:bottom w:val="none" w:sz="0" w:space="0" w:color="auto"/>
                            <w:right w:val="none" w:sz="0" w:space="0" w:color="auto"/>
                          </w:divBdr>
                          <w:divsChild>
                            <w:div w:id="1020816881">
                              <w:marLeft w:val="0"/>
                              <w:marRight w:val="0"/>
                              <w:marTop w:val="0"/>
                              <w:marBottom w:val="0"/>
                              <w:divBdr>
                                <w:top w:val="none" w:sz="0" w:space="0" w:color="auto"/>
                                <w:left w:val="none" w:sz="0" w:space="0" w:color="auto"/>
                                <w:bottom w:val="none" w:sz="0" w:space="0" w:color="auto"/>
                                <w:right w:val="none" w:sz="0" w:space="0" w:color="auto"/>
                              </w:divBdr>
                              <w:divsChild>
                                <w:div w:id="1624926096">
                                  <w:marLeft w:val="0"/>
                                  <w:marRight w:val="0"/>
                                  <w:marTop w:val="0"/>
                                  <w:marBottom w:val="0"/>
                                  <w:divBdr>
                                    <w:top w:val="none" w:sz="0" w:space="0" w:color="auto"/>
                                    <w:left w:val="none" w:sz="0" w:space="0" w:color="auto"/>
                                    <w:bottom w:val="none" w:sz="0" w:space="0" w:color="auto"/>
                                    <w:right w:val="none" w:sz="0" w:space="0" w:color="auto"/>
                                  </w:divBdr>
                                  <w:divsChild>
                                    <w:div w:id="1540818221">
                                      <w:marLeft w:val="0"/>
                                      <w:marRight w:val="0"/>
                                      <w:marTop w:val="0"/>
                                      <w:marBottom w:val="0"/>
                                      <w:divBdr>
                                        <w:top w:val="none" w:sz="0" w:space="0" w:color="auto"/>
                                        <w:left w:val="none" w:sz="0" w:space="0" w:color="auto"/>
                                        <w:bottom w:val="none" w:sz="0" w:space="0" w:color="auto"/>
                                        <w:right w:val="none" w:sz="0" w:space="0" w:color="auto"/>
                                      </w:divBdr>
                                      <w:divsChild>
                                        <w:div w:id="1402168773">
                                          <w:marLeft w:val="0"/>
                                          <w:marRight w:val="0"/>
                                          <w:marTop w:val="0"/>
                                          <w:marBottom w:val="0"/>
                                          <w:divBdr>
                                            <w:top w:val="none" w:sz="0" w:space="0" w:color="auto"/>
                                            <w:left w:val="none" w:sz="0" w:space="0" w:color="auto"/>
                                            <w:bottom w:val="none" w:sz="0" w:space="0" w:color="auto"/>
                                            <w:right w:val="none" w:sz="0" w:space="0" w:color="auto"/>
                                          </w:divBdr>
                                        </w:div>
                                      </w:divsChild>
                                    </w:div>
                                    <w:div w:id="217476336">
                                      <w:marLeft w:val="0"/>
                                      <w:marRight w:val="0"/>
                                      <w:marTop w:val="0"/>
                                      <w:marBottom w:val="0"/>
                                      <w:divBdr>
                                        <w:top w:val="none" w:sz="0" w:space="0" w:color="auto"/>
                                        <w:left w:val="none" w:sz="0" w:space="0" w:color="auto"/>
                                        <w:bottom w:val="none" w:sz="0" w:space="0" w:color="auto"/>
                                        <w:right w:val="none" w:sz="0" w:space="0" w:color="auto"/>
                                      </w:divBdr>
                                    </w:div>
                                  </w:divsChild>
                                </w:div>
                                <w:div w:id="464156889">
                                  <w:marLeft w:val="0"/>
                                  <w:marRight w:val="0"/>
                                  <w:marTop w:val="0"/>
                                  <w:marBottom w:val="0"/>
                                  <w:divBdr>
                                    <w:top w:val="none" w:sz="0" w:space="0" w:color="auto"/>
                                    <w:left w:val="none" w:sz="0" w:space="0" w:color="auto"/>
                                    <w:bottom w:val="none" w:sz="0" w:space="0" w:color="auto"/>
                                    <w:right w:val="none" w:sz="0" w:space="0" w:color="auto"/>
                                  </w:divBdr>
                                  <w:divsChild>
                                    <w:div w:id="894387579">
                                      <w:marLeft w:val="0"/>
                                      <w:marRight w:val="0"/>
                                      <w:marTop w:val="0"/>
                                      <w:marBottom w:val="0"/>
                                      <w:divBdr>
                                        <w:top w:val="none" w:sz="0" w:space="0" w:color="auto"/>
                                        <w:left w:val="none" w:sz="0" w:space="0" w:color="auto"/>
                                        <w:bottom w:val="none" w:sz="0" w:space="0" w:color="auto"/>
                                        <w:right w:val="none" w:sz="0" w:space="0" w:color="auto"/>
                                      </w:divBdr>
                                      <w:divsChild>
                                        <w:div w:id="1290014200">
                                          <w:marLeft w:val="0"/>
                                          <w:marRight w:val="0"/>
                                          <w:marTop w:val="0"/>
                                          <w:marBottom w:val="0"/>
                                          <w:divBdr>
                                            <w:top w:val="none" w:sz="0" w:space="0" w:color="auto"/>
                                            <w:left w:val="none" w:sz="0" w:space="0" w:color="auto"/>
                                            <w:bottom w:val="none" w:sz="0" w:space="0" w:color="auto"/>
                                            <w:right w:val="none" w:sz="0" w:space="0" w:color="auto"/>
                                          </w:divBdr>
                                          <w:divsChild>
                                            <w:div w:id="398600604">
                                              <w:marLeft w:val="0"/>
                                              <w:marRight w:val="0"/>
                                              <w:marTop w:val="0"/>
                                              <w:marBottom w:val="0"/>
                                              <w:divBdr>
                                                <w:top w:val="none" w:sz="0" w:space="0" w:color="auto"/>
                                                <w:left w:val="none" w:sz="0" w:space="0" w:color="auto"/>
                                                <w:bottom w:val="none" w:sz="0" w:space="0" w:color="auto"/>
                                                <w:right w:val="none" w:sz="0" w:space="0" w:color="auto"/>
                                              </w:divBdr>
                                            </w:div>
                                            <w:div w:id="129344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42669991">
          <w:marLeft w:val="0"/>
          <w:marRight w:val="0"/>
          <w:marTop w:val="0"/>
          <w:marBottom w:val="0"/>
          <w:divBdr>
            <w:top w:val="single" w:sz="36" w:space="0" w:color="FFC200"/>
            <w:left w:val="single" w:sz="6" w:space="0" w:color="D0D0D0"/>
            <w:bottom w:val="single" w:sz="6" w:space="0" w:color="D0D0D0"/>
            <w:right w:val="single" w:sz="6" w:space="0" w:color="D0D0D0"/>
          </w:divBdr>
        </w:div>
        <w:div w:id="1536695936">
          <w:marLeft w:val="0"/>
          <w:marRight w:val="0"/>
          <w:marTop w:val="0"/>
          <w:marBottom w:val="0"/>
          <w:divBdr>
            <w:top w:val="none" w:sz="0" w:space="0" w:color="auto"/>
            <w:left w:val="none" w:sz="0" w:space="0" w:color="auto"/>
            <w:bottom w:val="none" w:sz="0" w:space="0" w:color="auto"/>
            <w:right w:val="none" w:sz="0" w:space="0" w:color="auto"/>
          </w:divBdr>
          <w:divsChild>
            <w:div w:id="1582644222">
              <w:marLeft w:val="0"/>
              <w:marRight w:val="0"/>
              <w:marTop w:val="0"/>
              <w:marBottom w:val="0"/>
              <w:divBdr>
                <w:top w:val="none" w:sz="0" w:space="0" w:color="auto"/>
                <w:left w:val="none" w:sz="0" w:space="0" w:color="auto"/>
                <w:bottom w:val="none" w:sz="0" w:space="0" w:color="auto"/>
                <w:right w:val="none" w:sz="0" w:space="0" w:color="auto"/>
              </w:divBdr>
            </w:div>
            <w:div w:id="783112834">
              <w:marLeft w:val="0"/>
              <w:marRight w:val="0"/>
              <w:marTop w:val="0"/>
              <w:marBottom w:val="0"/>
              <w:divBdr>
                <w:top w:val="none" w:sz="0" w:space="0" w:color="auto"/>
                <w:left w:val="none" w:sz="0" w:space="0" w:color="auto"/>
                <w:bottom w:val="none" w:sz="0" w:space="0" w:color="auto"/>
                <w:right w:val="none" w:sz="0" w:space="0" w:color="auto"/>
              </w:divBdr>
              <w:divsChild>
                <w:div w:id="1922060200">
                  <w:marLeft w:val="0"/>
                  <w:marRight w:val="0"/>
                  <w:marTop w:val="0"/>
                  <w:marBottom w:val="0"/>
                  <w:divBdr>
                    <w:top w:val="none" w:sz="0" w:space="0" w:color="auto"/>
                    <w:left w:val="none" w:sz="0" w:space="0" w:color="auto"/>
                    <w:bottom w:val="none" w:sz="0" w:space="0" w:color="auto"/>
                    <w:right w:val="none" w:sz="0" w:space="0" w:color="auto"/>
                  </w:divBdr>
                  <w:divsChild>
                    <w:div w:id="2108455520">
                      <w:marLeft w:val="0"/>
                      <w:marRight w:val="0"/>
                      <w:marTop w:val="0"/>
                      <w:marBottom w:val="0"/>
                      <w:divBdr>
                        <w:top w:val="none" w:sz="0" w:space="0" w:color="auto"/>
                        <w:left w:val="none" w:sz="0" w:space="0" w:color="auto"/>
                        <w:bottom w:val="none" w:sz="0" w:space="0" w:color="auto"/>
                        <w:right w:val="none" w:sz="0" w:space="0" w:color="auto"/>
                      </w:divBdr>
                      <w:divsChild>
                        <w:div w:id="2081825484">
                          <w:marLeft w:val="0"/>
                          <w:marRight w:val="0"/>
                          <w:marTop w:val="0"/>
                          <w:marBottom w:val="0"/>
                          <w:divBdr>
                            <w:top w:val="none" w:sz="0" w:space="0" w:color="auto"/>
                            <w:left w:val="none" w:sz="0" w:space="0" w:color="auto"/>
                            <w:bottom w:val="none" w:sz="0" w:space="0" w:color="auto"/>
                            <w:right w:val="none" w:sz="0" w:space="0" w:color="auto"/>
                          </w:divBdr>
                          <w:divsChild>
                            <w:div w:id="40818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10616">
                  <w:marLeft w:val="0"/>
                  <w:marRight w:val="0"/>
                  <w:marTop w:val="0"/>
                  <w:marBottom w:val="0"/>
                  <w:divBdr>
                    <w:top w:val="none" w:sz="0" w:space="0" w:color="auto"/>
                    <w:left w:val="none" w:sz="0" w:space="0" w:color="auto"/>
                    <w:bottom w:val="none" w:sz="0" w:space="0" w:color="auto"/>
                    <w:right w:val="none" w:sz="0" w:space="0" w:color="auto"/>
                  </w:divBdr>
                  <w:divsChild>
                    <w:div w:id="9124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3</Pages>
  <Words>523</Words>
  <Characters>2985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Kaden Marshall</dc:creator>
  <cp:keywords/>
  <dc:description/>
  <cp:lastModifiedBy>Kaden Marshall</cp:lastModifiedBy>
  <cp:revision>1</cp:revision>
  <dcterms:created xsi:type="dcterms:W3CDTF">2023-03-22T00:00:00Z</dcterms:created>
  <dcterms:modified xsi:type="dcterms:W3CDTF">2023-03-22T01:20:00Z</dcterms:modified>
</cp:coreProperties>
</file>